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drawing>
          <wp:inline distT="0" distB="0" distL="0" distR="0">
            <wp:extent cx="1114425" cy="323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/>
      </w:pPr>
      <w:r>
        <w:rPr>
          <w:rFonts w:ascii="Yu Gothic" w:cs="Yu Gothic" w:eastAsia="Yu Gothic" w:hAnsi="Yu Gothic"/>
          <w:b/>
          <w:bCs/>
          <w:color w:val="0F2744"/>
          <w:sz w:val="20"/>
          <w:szCs w:val="20"/>
        </w:rPr>
        <w:t xml:space="preserve">サンプルM&amp;Aアドバイザリー株式会社</w:t>
      </w:r>
    </w:p>
    <w:p>
      <w:pPr>
        <w:spacing w:after="60"/>
      </w:pPr>
      <w:r>
        <w:rPr>
          <w:rFonts w:ascii="Yu Gothic" w:cs="Yu Gothic" w:eastAsia="Yu Gothic" w:hAnsi="Yu Gothic"/>
          <w:color w:val="73767D"/>
          <w:sz w:val="15"/>
          <w:szCs w:val="15"/>
        </w:rPr>
        <w:t xml:space="preserve">担当：山田 太郎　／　TEL：03-1234-5678 ／ Email：info@sample-ma.example.jp　／　東京都千代田区サンプル1-2-3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</w:tblGrid>
      <w:tr>
        <w:tc>
          <w:tcPr>
            <w:shd w:fill="0F2744" w:color="auto" w:val="clear"/>
            <w:tcMar>
              <w:top w:type="dxa" w:w="90"/>
              <w:left w:type="dxa" w:w="170"/>
              <w:bottom w:type="dxa" w:w="90"/>
              <w:right w:type="dxa" w:w="170"/>
            </w:tcMar>
          </w:tcPr>
          <w:p>
            <w:r>
              <w:rPr>
                <w:rFonts w:ascii="Yu Gothic" w:cs="Yu Gothic" w:eastAsia="Yu Gothic" w:hAnsi="Yu Gothic"/>
                <w:b/>
                <w:bCs/>
                <w:color w:val="FFFFFF"/>
                <w:sz w:val="30"/>
                <w:szCs w:val="30"/>
              </w:rPr>
              <w:t xml:space="preserve">ノンネームシート</w:t>
            </w:r>
            <w:r>
              <w:rPr>
                <w:rFonts w:ascii="Yu Gothic" w:cs="Yu Gothic" w:eastAsia="Yu Gothic" w:hAnsi="Yu Gothic"/>
                <w:color w:val="C8D6E5"/>
                <w:sz w:val="15"/>
                <w:szCs w:val="15"/>
              </w:rPr>
              <w:t xml:space="preserve">　Non-name Sheet</w:t>
            </w:r>
            <w:r>
              <w:rPr>
                <w:rFonts w:ascii="Yu Gothic" w:cs="Yu Gothic" w:eastAsia="Yu Gothic" w:hAnsi="Yu Gothic"/>
                <w:color w:val="C8D6E5"/>
                <w:sz w:val="13"/>
                <w:szCs w:val="13"/>
              </w:rPr>
              <w:t xml:space="preserve">　｜　Strictly Confidential</w:t>
            </w:r>
          </w:p>
        </w:tc>
      </w:tr>
    </w:tbl>
    <w:p>
      <w:pPr>
        <w:spacing w:after="40"/>
      </w:pPr>
      <w:r>
        <w:rPr>
          <w:rFonts w:ascii="Yu Gothic" w:cs="Yu Gothic" w:eastAsia="Yu Gothic" w:hAnsi="Yu Gothic"/>
          <w:sz w:val="2"/>
          <w:szCs w:val="2"/>
        </w:rPr>
        <w:t xml:space="preserve"/>
      </w:r>
    </w:p>
    <w:p>
      <w:pPr>
        <w:spacing w:after="60"/>
      </w:pPr>
      <w:r>
        <w:rPr>
          <w:rFonts w:ascii="Yu Gothic" w:cs="Yu Gothic" w:eastAsia="Yu Gothic" w:hAnsi="Yu Gothic"/>
          <w:b/>
          <w:bCs/>
          <w:color w:val="0F2744"/>
          <w:sz w:val="23"/>
          <w:szCs w:val="23"/>
        </w:rPr>
        <w:t xml:space="preserve">【株式譲渡・資本提携のご案内】金属製品製造業／売上10〜30億円規模</w:t>
      </w:r>
    </w:p>
    <w:p>
      <w:pPr>
        <w:pBdr>
          <w:bottom w:val="single" w:color="2563AC" w:sz="10" w:space="2"/>
        </w:pBdr>
        <w:spacing w:after="36" w:before="40"/>
      </w:pPr>
      <w:r>
        <w:rPr>
          <w:rFonts w:ascii="Yu Gothic" w:cs="Yu Gothic" w:eastAsia="Yu Gothic" w:hAnsi="Yu Gothic"/>
          <w:b/>
          <w:bCs/>
          <w:color w:val="0F2744"/>
          <w:sz w:val="22"/>
          <w:szCs w:val="22"/>
        </w:rPr>
        <w:t xml:space="preserve">企業プロフィール</w:t>
      </w:r>
    </w:p>
    <w:tbl>
      <w:tblPr>
        <w:tblW w:type="pct" w:w="100%"/>
        <w:tblBorders>
          <w:top w:val="single" w:color="CBD5E1" w:sz="4"/>
          <w:left w:val="single" w:color="CBD5E1" w:sz="4"/>
          <w:bottom w:val="single" w:color="CBD5E1" w:sz="4"/>
          <w:right w:val="single" w:color="CBD5E1" w:sz="4"/>
          <w:insideH w:val="single" w:color="CBD5E1" w:sz="4"/>
          <w:insideV w:val="single" w:color="CBD5E1" w:sz="4"/>
        </w:tblBorders>
      </w:tblPr>
      <w:tblGrid>
        <w:gridCol w:w="100"/>
        <w:gridCol w:w="100"/>
      </w:tblGrid>
      <w:tr>
        <w:tc>
          <w:tcPr>
            <w:tcW w:type="pct" w:w="28%"/>
            <w:shd w:fill="F1F5F9" w:color="auto" w:val="clear"/>
            <w:tcMar>
              <w:top w:type="dxa" w:w="32"/>
              <w:left w:type="dxa" w:w="130"/>
              <w:bottom w:type="dxa" w:w="32"/>
              <w:right w:type="dxa" w:w="130"/>
            </w:tcMar>
          </w:tcPr>
          <w:p>
            <w:r>
              <w:rPr>
                <w:rFonts w:ascii="Yu Gothic" w:cs="Yu Gothic" w:eastAsia="Yu Gothic" w:hAnsi="Yu Gothic"/>
                <w:b/>
                <w:bCs/>
                <w:color w:val="0F2744"/>
                <w:sz w:val="20"/>
                <w:szCs w:val="20"/>
              </w:rPr>
              <w:t xml:space="preserve">業種</w:t>
            </w:r>
          </w:p>
        </w:tc>
        <w:tc>
          <w:tcPr>
            <w:tcW w:type="pct" w:w="72%"/>
            <w:tcMar>
              <w:top w:type="dxa" w:w="32"/>
              <w:left w:type="dxa" w:w="130"/>
              <w:bottom w:type="dxa" w:w="32"/>
              <w:right w:type="dxa" w:w="130"/>
            </w:tcMar>
          </w:tcPr>
          <w:p>
            <w:r>
              <w:rPr>
                <w:rFonts w:ascii="Yu Gothic" w:cs="Yu Gothic" w:eastAsia="Yu Gothic" w:hAnsi="Yu Gothic"/>
                <w:sz w:val="20"/>
                <w:szCs w:val="20"/>
              </w:rPr>
              <w:t xml:space="preserve">金属製品製造業</w:t>
            </w:r>
          </w:p>
        </w:tc>
      </w:tr>
      <w:tr>
        <w:tc>
          <w:tcPr>
            <w:tcW w:type="pct" w:w="28%"/>
            <w:shd w:fill="F1F5F9" w:color="auto" w:val="clear"/>
            <w:tcMar>
              <w:top w:type="dxa" w:w="32"/>
              <w:left w:type="dxa" w:w="130"/>
              <w:bottom w:type="dxa" w:w="32"/>
              <w:right w:type="dxa" w:w="130"/>
            </w:tcMar>
          </w:tcPr>
          <w:p>
            <w:r>
              <w:rPr>
                <w:rFonts w:ascii="Yu Gothic" w:cs="Yu Gothic" w:eastAsia="Yu Gothic" w:hAnsi="Yu Gothic"/>
                <w:b/>
                <w:bCs/>
                <w:color w:val="0F2744"/>
                <w:sz w:val="20"/>
                <w:szCs w:val="20"/>
              </w:rPr>
              <w:t xml:space="preserve">所在地域</w:t>
            </w:r>
          </w:p>
        </w:tc>
        <w:tc>
          <w:tcPr>
            <w:tcW w:type="pct" w:w="72%"/>
            <w:tcMar>
              <w:top w:type="dxa" w:w="32"/>
              <w:left w:type="dxa" w:w="130"/>
              <w:bottom w:type="dxa" w:w="32"/>
              <w:right w:type="dxa" w:w="130"/>
            </w:tcMar>
          </w:tcPr>
          <w:p>
            <w:r>
              <w:rPr>
                <w:rFonts w:ascii="Yu Gothic" w:cs="Yu Gothic" w:eastAsia="Yu Gothic" w:hAnsi="Yu Gothic"/>
                <w:sz w:val="20"/>
                <w:szCs w:val="20"/>
              </w:rPr>
              <w:t xml:space="preserve">首都圏</w:t>
            </w:r>
          </w:p>
        </w:tc>
      </w:tr>
      <w:tr>
        <w:tc>
          <w:tcPr>
            <w:tcW w:type="pct" w:w="28%"/>
            <w:shd w:fill="F1F5F9" w:color="auto" w:val="clear"/>
            <w:tcMar>
              <w:top w:type="dxa" w:w="32"/>
              <w:left w:type="dxa" w:w="130"/>
              <w:bottom w:type="dxa" w:w="32"/>
              <w:right w:type="dxa" w:w="130"/>
            </w:tcMar>
          </w:tcPr>
          <w:p>
            <w:r>
              <w:rPr>
                <w:rFonts w:ascii="Yu Gothic" w:cs="Yu Gothic" w:eastAsia="Yu Gothic" w:hAnsi="Yu Gothic"/>
                <w:b/>
                <w:bCs/>
                <w:color w:val="0F2744"/>
                <w:sz w:val="20"/>
                <w:szCs w:val="20"/>
              </w:rPr>
              <w:t xml:space="preserve">業歴</w:t>
            </w:r>
          </w:p>
        </w:tc>
        <w:tc>
          <w:tcPr>
            <w:tcW w:type="pct" w:w="72%"/>
            <w:tcMar>
              <w:top w:type="dxa" w:w="32"/>
              <w:left w:type="dxa" w:w="130"/>
              <w:bottom w:type="dxa" w:w="32"/>
              <w:right w:type="dxa" w:w="130"/>
            </w:tcMar>
          </w:tcPr>
          <w:p>
            <w:r>
              <w:rPr>
                <w:rFonts w:ascii="Yu Gothic" w:cs="Yu Gothic" w:eastAsia="Yu Gothic" w:hAnsi="Yu Gothic"/>
                <w:sz w:val="20"/>
                <w:szCs w:val="20"/>
              </w:rPr>
              <w:t xml:space="preserve">30〜50年</w:t>
            </w:r>
          </w:p>
        </w:tc>
      </w:tr>
      <w:tr>
        <w:tc>
          <w:tcPr>
            <w:tcW w:type="pct" w:w="28%"/>
            <w:shd w:fill="F1F5F9" w:color="auto" w:val="clear"/>
            <w:tcMar>
              <w:top w:type="dxa" w:w="32"/>
              <w:left w:type="dxa" w:w="130"/>
              <w:bottom w:type="dxa" w:w="32"/>
              <w:right w:type="dxa" w:w="130"/>
            </w:tcMar>
          </w:tcPr>
          <w:p>
            <w:r>
              <w:rPr>
                <w:rFonts w:ascii="Yu Gothic" w:cs="Yu Gothic" w:eastAsia="Yu Gothic" w:hAnsi="Yu Gothic"/>
                <w:b/>
                <w:bCs/>
                <w:color w:val="0F2744"/>
                <w:sz w:val="20"/>
                <w:szCs w:val="20"/>
              </w:rPr>
              <w:t xml:space="preserve">従業員規模</w:t>
            </w:r>
          </w:p>
        </w:tc>
        <w:tc>
          <w:tcPr>
            <w:tcW w:type="pct" w:w="72%"/>
            <w:tcMar>
              <w:top w:type="dxa" w:w="32"/>
              <w:left w:type="dxa" w:w="130"/>
              <w:bottom w:type="dxa" w:w="32"/>
              <w:right w:type="dxa" w:w="130"/>
            </w:tcMar>
          </w:tcPr>
          <w:p>
            <w:r>
              <w:rPr>
                <w:rFonts w:ascii="Yu Gothic" w:cs="Yu Gothic" w:eastAsia="Yu Gothic" w:hAnsi="Yu Gothic"/>
                <w:sz w:val="20"/>
                <w:szCs w:val="20"/>
              </w:rPr>
              <w:t xml:space="preserve">51〜100名</w:t>
            </w:r>
          </w:p>
        </w:tc>
      </w:tr>
      <w:tr>
        <w:tc>
          <w:tcPr>
            <w:tcW w:type="pct" w:w="28%"/>
            <w:shd w:fill="F1F5F9" w:color="auto" w:val="clear"/>
            <w:tcMar>
              <w:top w:type="dxa" w:w="32"/>
              <w:left w:type="dxa" w:w="130"/>
              <w:bottom w:type="dxa" w:w="32"/>
              <w:right w:type="dxa" w:w="130"/>
            </w:tcMar>
          </w:tcPr>
          <w:p>
            <w:r>
              <w:rPr>
                <w:rFonts w:ascii="Yu Gothic" w:cs="Yu Gothic" w:eastAsia="Yu Gothic" w:hAnsi="Yu Gothic"/>
                <w:b/>
                <w:bCs/>
                <w:color w:val="0F2744"/>
                <w:sz w:val="20"/>
                <w:szCs w:val="20"/>
              </w:rPr>
              <w:t xml:space="preserve">売上規模</w:t>
            </w:r>
          </w:p>
        </w:tc>
        <w:tc>
          <w:tcPr>
            <w:tcW w:type="pct" w:w="72%"/>
            <w:tcMar>
              <w:top w:type="dxa" w:w="32"/>
              <w:left w:type="dxa" w:w="130"/>
              <w:bottom w:type="dxa" w:w="32"/>
              <w:right w:type="dxa" w:w="130"/>
            </w:tcMar>
          </w:tcPr>
          <w:p>
            <w:r>
              <w:rPr>
                <w:rFonts w:ascii="Yu Gothic" w:cs="Yu Gothic" w:eastAsia="Yu Gothic" w:hAnsi="Yu Gothic"/>
                <w:sz w:val="20"/>
                <w:szCs w:val="20"/>
              </w:rPr>
              <w:t xml:space="preserve">10〜30億円</w:t>
            </w:r>
          </w:p>
        </w:tc>
      </w:tr>
      <w:tr>
        <w:tc>
          <w:tcPr>
            <w:tcW w:type="pct" w:w="28%"/>
            <w:shd w:fill="F1F5F9" w:color="auto" w:val="clear"/>
            <w:tcMar>
              <w:top w:type="dxa" w:w="32"/>
              <w:left w:type="dxa" w:w="130"/>
              <w:bottom w:type="dxa" w:w="32"/>
              <w:right w:type="dxa" w:w="130"/>
            </w:tcMar>
          </w:tcPr>
          <w:p>
            <w:r>
              <w:rPr>
                <w:rFonts w:ascii="Yu Gothic" w:cs="Yu Gothic" w:eastAsia="Yu Gothic" w:hAnsi="Yu Gothic"/>
                <w:b/>
                <w:bCs/>
                <w:color w:val="0F2744"/>
                <w:sz w:val="20"/>
                <w:szCs w:val="20"/>
              </w:rPr>
              <w:t xml:space="preserve">営業利益規模</w:t>
            </w:r>
          </w:p>
        </w:tc>
        <w:tc>
          <w:tcPr>
            <w:tcW w:type="pct" w:w="72%"/>
            <w:tcMar>
              <w:top w:type="dxa" w:w="32"/>
              <w:left w:type="dxa" w:w="130"/>
              <w:bottom w:type="dxa" w:w="32"/>
              <w:right w:type="dxa" w:w="130"/>
            </w:tcMar>
          </w:tcPr>
          <w:p>
            <w:r>
              <w:rPr>
                <w:rFonts w:ascii="Yu Gothic" w:cs="Yu Gothic" w:eastAsia="Yu Gothic" w:hAnsi="Yu Gothic"/>
                <w:sz w:val="20"/>
                <w:szCs w:val="20"/>
              </w:rPr>
              <w:t xml:space="preserve">1〜5億円</w:t>
            </w:r>
          </w:p>
        </w:tc>
      </w:tr>
      <w:tr>
        <w:tc>
          <w:tcPr>
            <w:tcW w:type="pct" w:w="28%"/>
            <w:shd w:fill="F1F5F9" w:color="auto" w:val="clear"/>
            <w:tcMar>
              <w:top w:type="dxa" w:w="32"/>
              <w:left w:type="dxa" w:w="130"/>
              <w:bottom w:type="dxa" w:w="32"/>
              <w:right w:type="dxa" w:w="130"/>
            </w:tcMar>
          </w:tcPr>
          <w:p>
            <w:r>
              <w:rPr>
                <w:rFonts w:ascii="Yu Gothic" w:cs="Yu Gothic" w:eastAsia="Yu Gothic" w:hAnsi="Yu Gothic"/>
                <w:b/>
                <w:bCs/>
                <w:color w:val="0F2744"/>
                <w:sz w:val="20"/>
                <w:szCs w:val="20"/>
              </w:rPr>
              <w:t xml:space="preserve">純資産規模</w:t>
            </w:r>
          </w:p>
        </w:tc>
        <w:tc>
          <w:tcPr>
            <w:tcW w:type="pct" w:w="72%"/>
            <w:tcMar>
              <w:top w:type="dxa" w:w="32"/>
              <w:left w:type="dxa" w:w="130"/>
              <w:bottom w:type="dxa" w:w="32"/>
              <w:right w:type="dxa" w:w="130"/>
            </w:tcMar>
          </w:tcPr>
          <w:p>
            <w:r>
              <w:rPr>
                <w:rFonts w:ascii="Yu Gothic" w:cs="Yu Gothic" w:eastAsia="Yu Gothic" w:hAnsi="Yu Gothic"/>
                <w:sz w:val="20"/>
                <w:szCs w:val="20"/>
              </w:rPr>
              <w:t xml:space="preserve">5〜10億円</w:t>
            </w:r>
          </w:p>
        </w:tc>
      </w:tr>
      <w:tr>
        <w:tc>
          <w:tcPr>
            <w:tcW w:type="pct" w:w="28%"/>
            <w:shd w:fill="F1F5F9" w:color="auto" w:val="clear"/>
            <w:tcMar>
              <w:top w:type="dxa" w:w="32"/>
              <w:left w:type="dxa" w:w="130"/>
              <w:bottom w:type="dxa" w:w="32"/>
              <w:right w:type="dxa" w:w="130"/>
            </w:tcMar>
          </w:tcPr>
          <w:p>
            <w:r>
              <w:rPr>
                <w:rFonts w:ascii="Yu Gothic" w:cs="Yu Gothic" w:eastAsia="Yu Gothic" w:hAnsi="Yu Gothic"/>
                <w:b/>
                <w:bCs/>
                <w:color w:val="0F2744"/>
                <w:sz w:val="20"/>
                <w:szCs w:val="20"/>
              </w:rPr>
              <w:t xml:space="preserve">譲渡理由</w:t>
            </w:r>
          </w:p>
        </w:tc>
        <w:tc>
          <w:tcPr>
            <w:tcW w:type="pct" w:w="72%"/>
            <w:tcMar>
              <w:top w:type="dxa" w:w="32"/>
              <w:left w:type="dxa" w:w="130"/>
              <w:bottom w:type="dxa" w:w="32"/>
              <w:right w:type="dxa" w:w="130"/>
            </w:tcMar>
          </w:tcPr>
          <w:p>
            <w:r>
              <w:rPr>
                <w:rFonts w:ascii="Yu Gothic" w:cs="Yu Gothic" w:eastAsia="Yu Gothic" w:hAnsi="Yu Gothic"/>
                <w:sz w:val="20"/>
                <w:szCs w:val="20"/>
              </w:rPr>
              <w:t xml:space="preserve">後継者不在（事業承継）</w:t>
            </w:r>
          </w:p>
        </w:tc>
      </w:tr>
      <w:tr>
        <w:tc>
          <w:tcPr>
            <w:tcW w:type="pct" w:w="28%"/>
            <w:shd w:fill="F1F5F9" w:color="auto" w:val="clear"/>
            <w:tcMar>
              <w:top w:type="dxa" w:w="32"/>
              <w:left w:type="dxa" w:w="130"/>
              <w:bottom w:type="dxa" w:w="32"/>
              <w:right w:type="dxa" w:w="130"/>
            </w:tcMar>
          </w:tcPr>
          <w:p>
            <w:r>
              <w:rPr>
                <w:rFonts w:ascii="Yu Gothic" w:cs="Yu Gothic" w:eastAsia="Yu Gothic" w:hAnsi="Yu Gothic"/>
                <w:b/>
                <w:bCs/>
                <w:color w:val="0F2744"/>
                <w:sz w:val="20"/>
                <w:szCs w:val="20"/>
              </w:rPr>
              <w:t xml:space="preserve">希望スキーム</w:t>
            </w:r>
          </w:p>
        </w:tc>
        <w:tc>
          <w:tcPr>
            <w:tcW w:type="pct" w:w="72%"/>
            <w:tcMar>
              <w:top w:type="dxa" w:w="32"/>
              <w:left w:type="dxa" w:w="130"/>
              <w:bottom w:type="dxa" w:w="32"/>
              <w:right w:type="dxa" w:w="130"/>
            </w:tcMar>
          </w:tcPr>
          <w:p>
            <w:r>
              <w:rPr>
                <w:rFonts w:ascii="Yu Gothic" w:cs="Yu Gothic" w:eastAsia="Yu Gothic" w:hAnsi="Yu Gothic"/>
                <w:sz w:val="20"/>
                <w:szCs w:val="20"/>
              </w:rPr>
              <w:t xml:space="preserve">株式譲渡</w:t>
            </w:r>
          </w:p>
        </w:tc>
      </w:tr>
      <w:tr>
        <w:tc>
          <w:tcPr>
            <w:tcW w:type="pct" w:w="28%"/>
            <w:shd w:fill="F1F5F9" w:color="auto" w:val="clear"/>
            <w:tcMar>
              <w:top w:type="dxa" w:w="32"/>
              <w:left w:type="dxa" w:w="130"/>
              <w:bottom w:type="dxa" w:w="32"/>
              <w:right w:type="dxa" w:w="130"/>
            </w:tcMar>
          </w:tcPr>
          <w:p>
            <w:r>
              <w:rPr>
                <w:rFonts w:ascii="Yu Gothic" w:cs="Yu Gothic" w:eastAsia="Yu Gothic" w:hAnsi="Yu Gothic"/>
                <w:b/>
                <w:bCs/>
                <w:color w:val="0F2744"/>
                <w:sz w:val="20"/>
                <w:szCs w:val="20"/>
              </w:rPr>
              <w:t xml:space="preserve">希望価格</w:t>
            </w:r>
          </w:p>
        </w:tc>
        <w:tc>
          <w:tcPr>
            <w:tcW w:type="pct" w:w="72%"/>
            <w:tcMar>
              <w:top w:type="dxa" w:w="32"/>
              <w:left w:type="dxa" w:w="130"/>
              <w:bottom w:type="dxa" w:w="32"/>
              <w:right w:type="dxa" w:w="130"/>
            </w:tcMar>
          </w:tcPr>
          <w:p>
            <w:r>
              <w:rPr>
                <w:rFonts w:ascii="Yu Gothic" w:cs="Yu Gothic" w:eastAsia="Yu Gothic" w:hAnsi="Yu Gothic"/>
                <w:sz w:val="20"/>
                <w:szCs w:val="20"/>
              </w:rPr>
              <w:t xml:space="preserve">応相談</w:t>
            </w:r>
          </w:p>
        </w:tc>
      </w:tr>
    </w:tbl>
    <w:p>
      <w:pPr>
        <w:spacing w:after="20"/>
      </w:pPr>
      <w:r>
        <w:rPr>
          <w:rFonts w:ascii="Yu Gothic" w:cs="Yu Gothic" w:eastAsia="Yu Gothic" w:hAnsi="Yu Gothic"/>
          <w:sz w:val="2"/>
          <w:szCs w:val="2"/>
        </w:rPr>
        <w:t xml:space="preserve"/>
      </w:r>
    </w:p>
    <w:p>
      <w:pPr>
        <w:pBdr>
          <w:bottom w:val="single" w:color="2563AC" w:sz="10" w:space="2"/>
        </w:pBdr>
        <w:spacing w:after="36" w:before="40"/>
      </w:pPr>
      <w:r>
        <w:rPr>
          <w:rFonts w:ascii="Yu Gothic" w:cs="Yu Gothic" w:eastAsia="Yu Gothic" w:hAnsi="Yu Gothic"/>
          <w:b/>
          <w:bCs/>
          <w:color w:val="0F2744"/>
          <w:sz w:val="22"/>
          <w:szCs w:val="22"/>
        </w:rPr>
        <w:t xml:space="preserve">事業概要</w:t>
      </w:r>
    </w:p>
    <w:p>
      <w:pPr>
        <w:spacing w:after="50"/>
      </w:pPr>
      <w:r>
        <w:rPr>
          <w:rFonts w:ascii="Yu Gothic" w:cs="Yu Gothic" w:eastAsia="Yu Gothic" w:hAnsi="Yu Gothic"/>
          <w:sz w:val="18"/>
          <w:szCs w:val="18"/>
        </w:rPr>
        <w:t xml:space="preserve">首都圏を拠点に金属製品製造業を営む業歴30〜50年の非上場企業です。直近の売上規模は10〜30億円、営業利益規模は1〜5億円で、安定した黒字基調で推移しています。譲渡の背景は「後継者不在（事業承継）」です。</w:t>
      </w:r>
    </w:p>
    <w:p>
      <w:pPr>
        <w:pBdr>
          <w:bottom w:val="single" w:color="2563AC" w:sz="10" w:space="2"/>
        </w:pBdr>
        <w:spacing w:after="36" w:before="40"/>
      </w:pPr>
      <w:r>
        <w:rPr>
          <w:rFonts w:ascii="Yu Gothic" w:cs="Yu Gothic" w:eastAsia="Yu Gothic" w:hAnsi="Yu Gothic"/>
          <w:b/>
          <w:bCs/>
          <w:color w:val="0F2744"/>
          <w:sz w:val="22"/>
          <w:szCs w:val="22"/>
        </w:rPr>
        <w:t xml:space="preserve">事業の強み</w:t>
      </w:r>
    </w:p>
    <w:p>
      <w:pPr>
        <w:spacing w:after="8"/>
        <w:ind w:left="240" w:hanging="200"/>
        <w:jc w:val="left"/>
      </w:pPr>
      <w:r>
        <w:rPr>
          <w:rFonts w:ascii="Yu Gothic" w:cs="Yu Gothic" w:eastAsia="Yu Gothic" w:hAnsi="Yu Gothic"/>
          <w:color w:val="0F2744"/>
          <w:sz w:val="13"/>
          <w:szCs w:val="13"/>
        </w:rPr>
        <w:t xml:space="preserve">•	</w:t>
      </w:r>
      <w:r>
        <w:rPr>
          <w:rFonts w:ascii="Yu Gothic" w:cs="Yu Gothic" w:eastAsia="Yu Gothic" w:hAnsi="Yu Gothic"/>
          <w:sz w:val="17"/>
          <w:szCs w:val="17"/>
        </w:rPr>
        <w:t xml:space="preserve">自社で培った技術・設備を活かした製品・加工の供給体制</w:t>
      </w:r>
    </w:p>
    <w:p>
      <w:pPr>
        <w:spacing w:after="8"/>
        <w:ind w:left="240" w:hanging="200"/>
        <w:jc w:val="left"/>
      </w:pPr>
      <w:r>
        <w:rPr>
          <w:rFonts w:ascii="Yu Gothic" w:cs="Yu Gothic" w:eastAsia="Yu Gothic" w:hAnsi="Yu Gothic"/>
          <w:color w:val="0F2744"/>
          <w:sz w:val="13"/>
          <w:szCs w:val="13"/>
        </w:rPr>
        <w:t xml:space="preserve">•	</w:t>
      </w:r>
      <w:r>
        <w:rPr>
          <w:rFonts w:ascii="Yu Gothic" w:cs="Yu Gothic" w:eastAsia="Yu Gothic" w:hAnsi="Yu Gothic"/>
          <w:sz w:val="17"/>
          <w:szCs w:val="17"/>
        </w:rPr>
        <w:t xml:space="preserve">黒字基調で推移している安定的な収益基盤</w:t>
      </w:r>
    </w:p>
    <w:p>
      <w:pPr>
        <w:spacing w:after="8"/>
        <w:ind w:left="240" w:hanging="200"/>
        <w:jc w:val="left"/>
      </w:pPr>
      <w:r>
        <w:rPr>
          <w:rFonts w:ascii="Yu Gothic" w:cs="Yu Gothic" w:eastAsia="Yu Gothic" w:hAnsi="Yu Gothic"/>
          <w:color w:val="0F2744"/>
          <w:sz w:val="13"/>
          <w:szCs w:val="13"/>
        </w:rPr>
        <w:t xml:space="preserve">•	</w:t>
      </w:r>
      <w:r>
        <w:rPr>
          <w:rFonts w:ascii="Yu Gothic" w:cs="Yu Gothic" w:eastAsia="Yu Gothic" w:hAnsi="Yu Gothic"/>
          <w:sz w:val="17"/>
          <w:szCs w:val="17"/>
        </w:rPr>
        <w:t xml:space="preserve">直近で増収基調にある事業</w:t>
      </w:r>
    </w:p>
    <w:p>
      <w:pPr>
        <w:spacing w:after="8"/>
        <w:ind w:left="240" w:hanging="200"/>
        <w:jc w:val="left"/>
      </w:pPr>
      <w:r>
        <w:rPr>
          <w:rFonts w:ascii="Yu Gothic" w:cs="Yu Gothic" w:eastAsia="Yu Gothic" w:hAnsi="Yu Gothic"/>
          <w:color w:val="0F2744"/>
          <w:sz w:val="13"/>
          <w:szCs w:val="13"/>
        </w:rPr>
        <w:t xml:space="preserve">•	</w:t>
      </w:r>
      <w:r>
        <w:rPr>
          <w:rFonts w:ascii="Yu Gothic" w:cs="Yu Gothic" w:eastAsia="Yu Gothic" w:hAnsi="Yu Gothic"/>
          <w:sz w:val="17"/>
          <w:szCs w:val="17"/>
        </w:rPr>
        <w:t xml:space="preserve">一定の自己資本を有する財務体質</w:t>
      </w:r>
    </w:p>
    <w:p>
      <w:pPr>
        <w:spacing w:after="8"/>
        <w:ind w:left="240" w:hanging="200"/>
        <w:jc w:val="left"/>
      </w:pPr>
      <w:r>
        <w:rPr>
          <w:rFonts w:ascii="Yu Gothic" w:cs="Yu Gothic" w:eastAsia="Yu Gothic" w:hAnsi="Yu Gothic"/>
          <w:color w:val="0F2744"/>
          <w:sz w:val="13"/>
          <w:szCs w:val="13"/>
        </w:rPr>
        <w:t xml:space="preserve">•	</w:t>
      </w:r>
      <w:r>
        <w:rPr>
          <w:rFonts w:ascii="Yu Gothic" w:cs="Yu Gothic" w:eastAsia="Yu Gothic" w:hAnsi="Yu Gothic"/>
          <w:sz w:val="17"/>
          <w:szCs w:val="17"/>
        </w:rPr>
        <w:t xml:space="preserve">一定の事業規模による取引・調達上の安定性</w:t>
      </w:r>
    </w:p>
    <w:p>
      <w:pPr>
        <w:pBdr>
          <w:bottom w:val="single" w:color="2563AC" w:sz="10" w:space="2"/>
        </w:pBdr>
        <w:spacing w:after="36" w:before="40"/>
      </w:pPr>
      <w:r>
        <w:rPr>
          <w:rFonts w:ascii="Yu Gothic" w:cs="Yu Gothic" w:eastAsia="Yu Gothic" w:hAnsi="Yu Gothic"/>
          <w:b/>
          <w:bCs/>
          <w:color w:val="0F2744"/>
          <w:sz w:val="22"/>
          <w:szCs w:val="22"/>
        </w:rPr>
        <w:t xml:space="preserve">想定シナジー（買い手にとっての魅力）</w:t>
      </w:r>
    </w:p>
    <w:p>
      <w:pPr>
        <w:spacing w:after="8"/>
        <w:ind w:left="240" w:hanging="200"/>
        <w:jc w:val="left"/>
      </w:pPr>
      <w:r>
        <w:rPr>
          <w:rFonts w:ascii="Yu Gothic" w:cs="Yu Gothic" w:eastAsia="Yu Gothic" w:hAnsi="Yu Gothic"/>
          <w:color w:val="0F2744"/>
          <w:sz w:val="13"/>
          <w:szCs w:val="13"/>
        </w:rPr>
        <w:t xml:space="preserve">•	</w:t>
      </w:r>
      <w:r>
        <w:rPr>
          <w:rFonts w:ascii="Yu Gothic" w:cs="Yu Gothic" w:eastAsia="Yu Gothic" w:hAnsi="Yu Gothic"/>
          <w:sz w:val="17"/>
          <w:szCs w:val="17"/>
        </w:rPr>
        <w:t xml:space="preserve">生産能力・技術の取り込みによる供給力強化や内製化</w:t>
      </w:r>
    </w:p>
    <w:p>
      <w:pPr>
        <w:spacing w:after="8"/>
        <w:ind w:left="240" w:hanging="200"/>
        <w:jc w:val="left"/>
      </w:pPr>
      <w:r>
        <w:rPr>
          <w:rFonts w:ascii="Yu Gothic" w:cs="Yu Gothic" w:eastAsia="Yu Gothic" w:hAnsi="Yu Gothic"/>
          <w:color w:val="0F2744"/>
          <w:sz w:val="13"/>
          <w:szCs w:val="13"/>
        </w:rPr>
        <w:t xml:space="preserve">•	</w:t>
      </w:r>
      <w:r>
        <w:rPr>
          <w:rFonts w:ascii="Yu Gothic" w:cs="Yu Gothic" w:eastAsia="Yu Gothic" w:hAnsi="Yu Gothic"/>
          <w:sz w:val="17"/>
          <w:szCs w:val="17"/>
        </w:rPr>
        <w:t xml:space="preserve">ものづくり領域への参入・強化の足がかり</w:t>
      </w:r>
    </w:p>
    <w:p>
      <w:pPr>
        <w:spacing w:after="8"/>
        <w:ind w:left="240" w:hanging="200"/>
        <w:jc w:val="left"/>
      </w:pPr>
      <w:r>
        <w:rPr>
          <w:rFonts w:ascii="Yu Gothic" w:cs="Yu Gothic" w:eastAsia="Yu Gothic" w:hAnsi="Yu Gothic"/>
          <w:color w:val="0F2744"/>
          <w:sz w:val="13"/>
          <w:szCs w:val="13"/>
        </w:rPr>
        <w:t xml:space="preserve">•	</w:t>
      </w:r>
      <w:r>
        <w:rPr>
          <w:rFonts w:ascii="Yu Gothic" w:cs="Yu Gothic" w:eastAsia="Yu Gothic" w:hAnsi="Yu Gothic"/>
          <w:sz w:val="17"/>
          <w:szCs w:val="17"/>
        </w:rPr>
        <w:t xml:space="preserve">既存事業との顧客基盤・販路の相互補完</w:t>
      </w:r>
    </w:p>
    <w:p>
      <w:pPr>
        <w:spacing w:after="8"/>
        <w:ind w:left="240" w:hanging="200"/>
        <w:jc w:val="left"/>
      </w:pPr>
      <w:r>
        <w:rPr>
          <w:rFonts w:ascii="Yu Gothic" w:cs="Yu Gothic" w:eastAsia="Yu Gothic" w:hAnsi="Yu Gothic"/>
          <w:color w:val="0F2744"/>
          <w:sz w:val="13"/>
          <w:szCs w:val="13"/>
        </w:rPr>
        <w:t xml:space="preserve">•	</w:t>
      </w:r>
      <w:r>
        <w:rPr>
          <w:rFonts w:ascii="Yu Gothic" w:cs="Yu Gothic" w:eastAsia="Yu Gothic" w:hAnsi="Yu Gothic"/>
          <w:sz w:val="17"/>
          <w:szCs w:val="17"/>
        </w:rPr>
        <w:t xml:space="preserve">人材・ノウハウ・取引先の獲得</w:t>
      </w:r>
    </w:p>
    <w:p>
      <w:pPr>
        <w:pBdr>
          <w:bottom w:val="single" w:color="2563AC" w:sz="10" w:space="2"/>
        </w:pBdr>
        <w:spacing w:after="36" w:before="40"/>
      </w:pPr>
      <w:r>
        <w:rPr>
          <w:rFonts w:ascii="Yu Gothic" w:cs="Yu Gothic" w:eastAsia="Yu Gothic" w:hAnsi="Yu Gothic"/>
          <w:b/>
          <w:bCs/>
          <w:color w:val="0F2744"/>
          <w:sz w:val="22"/>
          <w:szCs w:val="22"/>
        </w:rPr>
        <w:t xml:space="preserve">次のステップ</w:t>
      </w:r>
    </w:p>
    <w:p>
      <w:pPr>
        <w:spacing w:after="8"/>
        <w:ind w:left="240" w:hanging="200"/>
        <w:jc w:val="left"/>
      </w:pPr>
      <w:r>
        <w:rPr>
          <w:rFonts w:ascii="Yu Gothic" w:cs="Yu Gothic" w:eastAsia="Yu Gothic" w:hAnsi="Yu Gothic"/>
          <w:color w:val="0F2744"/>
          <w:sz w:val="13"/>
          <w:szCs w:val="13"/>
        </w:rPr>
        <w:t xml:space="preserve">•	</w:t>
      </w:r>
      <w:r>
        <w:rPr>
          <w:rFonts w:ascii="Yu Gothic" w:cs="Yu Gothic" w:eastAsia="Yu Gothic" w:hAnsi="Yu Gothic"/>
          <w:sz w:val="17"/>
          <w:szCs w:val="17"/>
        </w:rPr>
        <w:t xml:space="preserve">ご関心をお持ちいただけましたら、秘密保持契約（NDA）を締結のうえ企業概要書（IM）をご提示します</w:t>
      </w:r>
    </w:p>
    <w:p>
      <w:pPr>
        <w:spacing w:after="8"/>
        <w:ind w:left="240" w:hanging="200"/>
        <w:jc w:val="left"/>
      </w:pPr>
      <w:r>
        <w:rPr>
          <w:rFonts w:ascii="Yu Gothic" w:cs="Yu Gothic" w:eastAsia="Yu Gothic" w:hAnsi="Yu Gothic"/>
          <w:color w:val="0F2744"/>
          <w:sz w:val="13"/>
          <w:szCs w:val="13"/>
        </w:rPr>
        <w:t xml:space="preserve">•	</w:t>
      </w:r>
      <w:r>
        <w:rPr>
          <w:rFonts w:ascii="Yu Gothic" w:cs="Yu Gothic" w:eastAsia="Yu Gothic" w:hAnsi="Yu Gothic"/>
          <w:sz w:val="17"/>
          <w:szCs w:val="17"/>
        </w:rPr>
        <w:t xml:space="preserve">IM・決算書等をご確認いただいた後、トップ面談を設定します</w:t>
      </w:r>
    </w:p>
    <w:p>
      <w:pPr>
        <w:spacing w:after="8"/>
        <w:ind w:left="240" w:hanging="200"/>
        <w:jc w:val="left"/>
      </w:pPr>
      <w:r>
        <w:rPr>
          <w:rFonts w:ascii="Yu Gothic" w:cs="Yu Gothic" w:eastAsia="Yu Gothic" w:hAnsi="Yu Gothic"/>
          <w:color w:val="0F2744"/>
          <w:sz w:val="13"/>
          <w:szCs w:val="13"/>
        </w:rPr>
        <w:t xml:space="preserve">•	</w:t>
      </w:r>
      <w:r>
        <w:rPr>
          <w:rFonts w:ascii="Yu Gothic" w:cs="Yu Gothic" w:eastAsia="Yu Gothic" w:hAnsi="Yu Gothic"/>
          <w:sz w:val="17"/>
          <w:szCs w:val="17"/>
        </w:rPr>
        <w:t xml:space="preserve">意向表明書のご提出を経て、基本合意・デューデリジェンスへ進みます</w:t>
      </w:r>
    </w:p>
    <w:p>
      <w:pPr>
        <w:pBdr>
          <w:top w:val="single" w:color="CBD5E1" w:sz="6" w:space="4"/>
        </w:pBdr>
        <w:spacing w:after="10" w:before="40"/>
      </w:pPr>
      <w:r>
        <w:rPr>
          <w:rFonts w:ascii="Yu Gothic" w:cs="Yu Gothic" w:eastAsia="Yu Gothic" w:hAnsi="Yu Gothic"/>
          <w:color w:val="73767D"/>
          <w:sz w:val="12"/>
          <w:szCs w:val="12"/>
        </w:rPr>
        <w:t xml:space="preserve">作成日：2026年10月5日</w:t>
      </w:r>
    </w:p>
    <w:p>
      <w:r>
        <w:rPr>
          <w:rFonts w:ascii="Yu Gothic" w:cs="Yu Gothic" w:eastAsia="Yu Gothic" w:hAnsi="Yu Gothic"/>
          <w:color w:val="73767D"/>
          <w:sz w:val="12"/>
          <w:szCs w:val="12"/>
        </w:rPr>
        <w:t xml:space="preserve">本資料は秘密情報を含みます。検討目的以外での利用、第三者への開示・複製はお控えください。</w:t>
      </w:r>
    </w:p>
    <w:sectPr>
      <w:pgSz w:w="11906" w:h="16838" w:orient="portrait"/>
      <w:pgMar w:top="460" w:right="1000" w:bottom="32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5cfb782858dc698c427af0163a6f40ffc3c9fbc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2026-10-05T01:08:12.229Z</dcterms:created>
  <dcterms:modified xsi:type="dcterms:W3CDTF">2026-10-05T01:08:12.229Z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