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Yu Gothic" w:cs="Yu Gothic" w:eastAsia="Yu Gothic" w:hAnsi="Yu Gothic"/>
          <w:b/>
          <w:bCs/>
          <w:color w:val="B42318"/>
          <w:sz w:val="18"/>
          <w:szCs w:val="18"/>
        </w:rPr>
        <w:t xml:space="preserve">社外秘</w:t>
      </w:r>
    </w:p>
    <w:p>
      <w:pPr>
        <w:spacing w:after="60"/>
        <w:jc w:val="center"/>
      </w:pPr>
      <w:r>
        <w:rPr>
          <w:rFonts w:ascii="Yu Gothic" w:cs="Yu Gothic" w:eastAsia="Yu Gothic" w:hAnsi="Yu Gothic"/>
          <w:b/>
          <w:bCs/>
          <w:color w:val="0F2744"/>
          <w:sz w:val="36"/>
          <w:szCs w:val="36"/>
        </w:rPr>
        <w:t xml:space="preserve">稟　議　書</w:t>
      </w:r>
    </w:p>
    <w:p>
      <w:pPr>
        <w:spacing w:after="240"/>
        <w:jc w:val="center"/>
      </w:pPr>
      <w:r>
        <w:rPr>
          <w:rFonts w:ascii="Yu Gothic" w:cs="Yu Gothic" w:eastAsia="Yu Gothic" w:hAnsi="Yu Gothic"/>
          <w:color w:val="0F2744"/>
          <w:sz w:val="22"/>
          <w:szCs w:val="22"/>
        </w:rPr>
        <w:t xml:space="preserve">（株式取得による子会社化の件）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稟議番号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起案日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20XX年XX月XX日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起案部署・起案者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経営企画部　氏名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決裁者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代表取締役社長（取締役会付議事項）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回付先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管理本部長・財務部長・法務部長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決裁希望日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20XX年XX月XX日（取締役会の開催日）</w:t>
            </w:r>
          </w:p>
        </w:tc>
      </w:tr>
    </w:tbl>
    <w:p>
      <w:pPr>
        <w:spacing w:after="120"/>
      </w:pPr>
      <w:r>
        <w:rPr>
          <w:rFonts w:ascii="Yu Gothic" w:cs="Yu Gothic" w:eastAsia="Yu Gothic" w:hAnsi="Yu Gothic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起案者</w:t>
            </w:r>
          </w:p>
        </w:tc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部長</w:t>
            </w:r>
          </w:p>
        </w:tc>
        <w:tc>
          <w:tcPr>
            <w:tcW w:type="pct" w:w="17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管理本部長</w:t>
            </w:r>
          </w:p>
        </w:tc>
        <w:tc>
          <w:tcPr>
            <w:tcW w:type="pct" w:w="17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財務部長</w:t>
            </w:r>
          </w:p>
        </w:tc>
        <w:tc>
          <w:tcPr>
            <w:tcW w:type="pct" w:w="17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法務部長</w:t>
            </w:r>
          </w:p>
        </w:tc>
        <w:tc>
          <w:tcPr>
            <w:tcW w:type="pct" w:w="17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社長</w:t>
            </w:r>
          </w:p>
        </w:tc>
      </w:tr>
      <w:tr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7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7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7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7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7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7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7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7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1．件名</w:t>
      </w:r>
    </w:p>
    <w:p>
      <w:pPr>
        <w:spacing w:after="80" w:line="320"/>
      </w:pPr>
      <w:r>
        <w:rPr>
          <w:rFonts w:ascii="Yu Gothic" w:cs="Yu Gothic" w:eastAsia="Yu Gothic" w:hAnsi="Yu Gothic"/>
          <w:sz w:val="20"/>
          <w:szCs w:val="20"/>
        </w:rPr>
        <w:t xml:space="preserve">株式会社〇〇〇〇の株式取得（子会社化）について</w:t>
      </w:r>
    </w:p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2．決裁を求める事項</w:t>
      </w:r>
    </w:p>
    <w:p>
      <w:pPr>
        <w:spacing w:after="80" w:line="320"/>
      </w:pPr>
      <w:r>
        <w:rPr>
          <w:rFonts w:ascii="Yu Gothic" w:cs="Yu Gothic" w:eastAsia="Yu Gothic" w:hAnsi="Yu Gothic"/>
          <w:sz w:val="20"/>
          <w:szCs w:val="20"/>
        </w:rPr>
        <w:t xml:space="preserve">下記の条件により、株式会社〇〇〇〇（以下「対象会社」）の発行済株式の〇〇％を取得し、子会社化することについて承認を求めます。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取得する株式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普通株式　〇〇株（議決権比率 〇〇％）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取得価額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〇〇百万円（ほかにアドバイザリー費用等 〇〇百万円）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取得の方法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既存株主からの株式譲渡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契約締結予定日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20XX年XX月XX日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株式譲渡実行日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20XX年XX月XX日</w:t>
            </w:r>
          </w:p>
        </w:tc>
      </w:tr>
    </w:tbl>
    <w:p>
      <w:pPr>
        <w:spacing w:after="100" w:line="280"/>
      </w:pPr>
      <w:r>
        <w:rPr>
          <w:rFonts w:ascii="Yu Gothic" w:cs="Yu Gothic" w:eastAsia="Yu Gothic" w:hAnsi="Yu Gothic"/>
          <w:i/>
          <w:iCs/>
          <w:color w:val="7A7F87"/>
          <w:sz w:val="17"/>
          <w:szCs w:val="17"/>
        </w:rPr>
        <w:t xml:space="preserve">記入のポイント：決裁者が最初に読む欄です。何を・いくらで・いつ買うのかを1画面で分かるように書きます。</w:t>
      </w:r>
    </w:p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3．対象会社の概要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商号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所在地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代表者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設立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資本金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事業内容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従業員数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主要取引先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株主構成（取得前）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代表者 〇〇％、親族 〇〇％ など</w:t>
            </w:r>
          </w:p>
        </w:tc>
      </w:tr>
    </w:tbl>
    <w:p>
      <w:pPr>
        <w:spacing w:after="60" w:before="160"/>
      </w:pPr>
      <w:r>
        <w:rPr>
          <w:rFonts w:ascii="Yu Gothic" w:cs="Yu Gothic" w:eastAsia="Yu Gothic" w:hAnsi="Yu Gothic"/>
          <w:b/>
          <w:bCs/>
          <w:color w:val="0F2744"/>
          <w:sz w:val="20"/>
          <w:szCs w:val="20"/>
        </w:rPr>
        <w:t xml:space="preserve">直近3期の業績（百万円）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項目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20XX年X月期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20XX年X月期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20XX年X月期（直近）</w:t>
            </w:r>
          </w:p>
        </w:tc>
      </w:tr>
      <w:tr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売上高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営業利益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EBITDA（営業利益＋減価償却費）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当期純利益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純資産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有利子負債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現預金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00" w:line="280"/>
      </w:pPr>
      <w:r>
        <w:rPr>
          <w:rFonts w:ascii="Yu Gothic" w:cs="Yu Gothic" w:eastAsia="Yu Gothic" w:hAnsi="Yu Gothic"/>
          <w:i/>
          <w:iCs/>
          <w:color w:val="7A7F87"/>
          <w:sz w:val="17"/>
          <w:szCs w:val="17"/>
        </w:rPr>
        <w:t xml:space="preserve">記入のポイント：役員報酬の水準調整や一時的な損益を除いた「正常な利益」があれば、調整後の数字を別行で示します。</w:t>
      </w:r>
    </w:p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4．取引の概要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スキーム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株式譲渡（現金対価）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取得後の持分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〇〇％（連結子会社）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取得価額と支払方法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〇〇百万円を譲渡実行日に一括で支払う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価格調整・追加対価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運転資本による価格調整の有無、アーンアウトの有無と条件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主な契約条件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表明保証・補償の上限と期間、競業避止、キーパーソンの継続勤務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アドバイザー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FA・会計・税務・法務のアドバイザー名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今後の日程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取締役会決議 → 契約締結 → 株式譲渡実行 → PMI開始</w:t>
            </w:r>
          </w:p>
        </w:tc>
      </w:tr>
    </w:tbl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5．買収の目的と期待効果</w:t>
      </w:r>
    </w:p>
    <w:p>
      <w:pPr>
        <w:spacing w:after="60" w:before="160"/>
      </w:pPr>
      <w:r>
        <w:rPr>
          <w:rFonts w:ascii="Yu Gothic" w:cs="Yu Gothic" w:eastAsia="Yu Gothic" w:hAnsi="Yu Gothic"/>
          <w:b/>
          <w:bCs/>
          <w:color w:val="0F2744"/>
          <w:sz w:val="20"/>
          <w:szCs w:val="20"/>
        </w:rPr>
        <w:t xml:space="preserve">（1）当社の戦略上の位置づけ</w:t>
      </w:r>
    </w:p>
    <w:p>
      <w:pPr>
        <w:spacing w:after="60"/>
      </w:pPr>
      <w:r>
        <w:rPr>
          <w:rFonts w:ascii="Yu Gothic" w:cs="Yu Gothic" w:eastAsia="Yu Gothic" w:hAnsi="Yu Gothic"/>
          <w:sz w:val="20"/>
          <w:szCs w:val="20"/>
        </w:rPr>
        <w:t xml:space="preserve"/>
      </w:r>
    </w:p>
    <w:p>
      <w:pPr>
        <w:spacing w:after="60"/>
      </w:pPr>
      <w:r>
        <w:rPr>
          <w:rFonts w:ascii="Yu Gothic" w:cs="Yu Gothic" w:eastAsia="Yu Gothic" w:hAnsi="Yu Gothic"/>
          <w:sz w:val="20"/>
          <w:szCs w:val="20"/>
        </w:rPr>
        <w:t xml:space="preserve"/>
      </w:r>
    </w:p>
    <w:p>
      <w:pPr>
        <w:spacing w:after="100" w:line="280"/>
      </w:pPr>
      <w:r>
        <w:rPr>
          <w:rFonts w:ascii="Yu Gothic" w:cs="Yu Gothic" w:eastAsia="Yu Gothic" w:hAnsi="Yu Gothic"/>
          <w:i/>
          <w:iCs/>
          <w:color w:val="7A7F87"/>
          <w:sz w:val="17"/>
          <w:szCs w:val="17"/>
        </w:rPr>
        <w:t xml:space="preserve">記入のポイント：中期経営計画のどの施策に当たるか、自社で育てる場合と比べて買う理由（時間・人材・顧客基盤）を書きます。</w:t>
      </w:r>
    </w:p>
    <w:p>
      <w:pPr>
        <w:spacing w:after="60" w:before="160"/>
      </w:pPr>
      <w:r>
        <w:rPr>
          <w:rFonts w:ascii="Yu Gothic" w:cs="Yu Gothic" w:eastAsia="Yu Gothic" w:hAnsi="Yu Gothic"/>
          <w:b/>
          <w:bCs/>
          <w:color w:val="0F2744"/>
          <w:sz w:val="20"/>
          <w:szCs w:val="20"/>
        </w:rPr>
        <w:t xml:space="preserve">（2）シナジーの見込み（百万円／年）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種類</w:t>
            </w:r>
          </w:p>
        </w:tc>
        <w:tc>
          <w:tcPr>
            <w:tcW w:type="pct" w:w="3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内容</w:t>
            </w:r>
          </w:p>
        </w:tc>
        <w:tc>
          <w:tcPr>
            <w:tcW w:type="pct" w:w="1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初年度</w:t>
            </w:r>
          </w:p>
        </w:tc>
        <w:tc>
          <w:tcPr>
            <w:tcW w:type="pct" w:w="1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3年目</w:t>
            </w:r>
          </w:p>
        </w:tc>
        <w:tc>
          <w:tcPr>
            <w:tcW w:type="pct" w:w="2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前提</w:t>
            </w:r>
          </w:p>
        </w:tc>
      </w:tr>
      <w:tr>
        <w:tc>
          <w:tcPr>
            <w:tcW w:type="pct" w:w="2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売上シナジー</w:t>
            </w:r>
          </w:p>
        </w:tc>
        <w:tc>
          <w:tcPr>
            <w:tcW w:type="pct" w:w="3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コストシナジー</w:t>
            </w:r>
          </w:p>
        </w:tc>
        <w:tc>
          <w:tcPr>
            <w:tcW w:type="pct" w:w="3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統合コスト（マイナス）</w:t>
            </w:r>
          </w:p>
        </w:tc>
        <w:tc>
          <w:tcPr>
            <w:tcW w:type="pct" w:w="3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2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00" w:line="280"/>
      </w:pPr>
      <w:r>
        <w:rPr>
          <w:rFonts w:ascii="Yu Gothic" w:cs="Yu Gothic" w:eastAsia="Yu Gothic" w:hAnsi="Yu Gothic"/>
          <w:i/>
          <w:iCs/>
          <w:color w:val="7A7F87"/>
          <w:sz w:val="17"/>
          <w:szCs w:val="17"/>
        </w:rPr>
        <w:t xml:space="preserve">記入のポイント：シナジーは取得価額に織り込んだ分と、織り込んでいない分（上振れ要因）を分けて書くと、価格の議論がしやすくなります。</w:t>
      </w:r>
    </w:p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6．取得価額の妥当性</w:t>
      </w:r>
    </w:p>
    <w:p>
      <w:pPr>
        <w:spacing w:after="80" w:line="320"/>
      </w:pPr>
      <w:r>
        <w:rPr>
          <w:rFonts w:ascii="Yu Gothic" w:cs="Yu Gothic" w:eastAsia="Yu Gothic" w:hAnsi="Yu Gothic"/>
          <w:sz w:val="20"/>
          <w:szCs w:val="20"/>
        </w:rPr>
        <w:t xml:space="preserve">取得価額 〇〇百万円の妥当性を、次の方法で確認しました。算定の詳細は別添の株式価値算定書のとおりです。</w:t>
      </w:r>
    </w:p>
    <w:p>
      <w:pPr>
        <w:spacing w:after="60" w:before="160"/>
      </w:pPr>
      <w:r>
        <w:rPr>
          <w:rFonts w:ascii="Yu Gothic" w:cs="Yu Gothic" w:eastAsia="Yu Gothic" w:hAnsi="Yu Gothic"/>
          <w:b/>
          <w:bCs/>
          <w:color w:val="0F2744"/>
          <w:sz w:val="20"/>
          <w:szCs w:val="20"/>
        </w:rPr>
        <w:t xml:space="preserve">（1）算定方法と結果（株式価値・百万円）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算定方法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株式価値のレンジ</w:t>
            </w:r>
          </w:p>
        </w:tc>
        <w:tc>
          <w:tcPr>
            <w:tcW w:type="pct" w:w="2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取得価額の位置</w:t>
            </w:r>
          </w:p>
        </w:tc>
        <w:tc>
          <w:tcPr>
            <w:tcW w:type="pct" w:w="3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主な前提</w:t>
            </w:r>
          </w:p>
        </w:tc>
      </w:tr>
      <w:tr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DCF法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 〜 〇〇</w:t>
            </w:r>
          </w:p>
        </w:tc>
        <w:tc>
          <w:tcPr>
            <w:tcW w:type="pct" w:w="2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レンジ内・下限寄り</w:t>
            </w:r>
          </w:p>
        </w:tc>
        <w:tc>
          <w:tcPr>
            <w:tcW w:type="pct" w:w="3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事業計画〇年、WACC 〇％、永久成長率 〇％</w:t>
            </w:r>
          </w:p>
        </w:tc>
      </w:tr>
      <w:tr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類似会社比較法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 〜 〇〇</w:t>
            </w:r>
          </w:p>
        </w:tc>
        <w:tc>
          <w:tcPr>
            <w:tcW w:type="pct" w:w="2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/>
            </w:r>
          </w:p>
        </w:tc>
        <w:tc>
          <w:tcPr>
            <w:tcW w:type="pct" w:w="3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類似会社〇社、EV/EBITDA倍率の四分位</w:t>
            </w:r>
          </w:p>
        </w:tc>
      </w:tr>
      <w:tr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純資産法（参考）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</w:t>
            </w:r>
          </w:p>
        </w:tc>
        <w:tc>
          <w:tcPr>
            <w:tcW w:type="pct" w:w="2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/>
            </w:r>
          </w:p>
        </w:tc>
        <w:tc>
          <w:tcPr>
            <w:tcW w:type="pct" w:w="3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時価評価の調整後</w:t>
            </w:r>
          </w:p>
        </w:tc>
      </w:tr>
      <w:tr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結論（併用）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 〜 〇〇</w:t>
            </w:r>
          </w:p>
        </w:tc>
        <w:tc>
          <w:tcPr>
            <w:tcW w:type="pct" w:w="2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/>
            </w:r>
          </w:p>
        </w:tc>
        <w:tc>
          <w:tcPr>
            <w:tcW w:type="pct" w:w="3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DCF法と類似会社比較法のレンジが重なる範囲</w:t>
            </w:r>
          </w:p>
        </w:tc>
      </w:tr>
    </w:tbl>
    <w:p>
      <w:pPr>
        <w:spacing w:after="60" w:before="160"/>
      </w:pPr>
      <w:r>
        <w:rPr>
          <w:rFonts w:ascii="Yu Gothic" w:cs="Yu Gothic" w:eastAsia="Yu Gothic" w:hAnsi="Yu Gothic"/>
          <w:b/>
          <w:bCs/>
          <w:color w:val="0F2744"/>
          <w:sz w:val="20"/>
          <w:szCs w:val="20"/>
        </w:rPr>
        <w:t xml:space="preserve">（2）取得価額が示す倍率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指標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取得価額から逆算した値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比べた目安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コメント</w:t>
            </w:r>
          </w:p>
        </w:tc>
      </w:tr>
      <w:tr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EV/EBITDA倍率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〇.〇倍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類似会社 〇.〇〜〇.〇倍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年買法の年数（純資産を超える部分が営業利益の何年分か）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〇.〇年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3〜5年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純資産倍率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〇.〇倍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参考</w:t>
            </w:r>
          </w:p>
        </w:tc>
        <w:tc>
          <w:tcPr>
            <w:tcW w:type="pct" w:w="2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160"/>
      </w:pPr>
      <w:r>
        <w:rPr>
          <w:rFonts w:ascii="Yu Gothic" w:cs="Yu Gothic" w:eastAsia="Yu Gothic" w:hAnsi="Yu Gothic"/>
          <w:b/>
          <w:bCs/>
          <w:color w:val="0F2744"/>
          <w:sz w:val="20"/>
          <w:szCs w:val="20"/>
        </w:rPr>
        <w:t xml:space="preserve">（3）価格交渉の経緯</w:t>
      </w:r>
    </w:p>
    <w:p>
      <w:pPr>
        <w:spacing w:after="60"/>
      </w:pPr>
      <w:r>
        <w:rPr>
          <w:rFonts w:ascii="Yu Gothic" w:cs="Yu Gothic" w:eastAsia="Yu Gothic" w:hAnsi="Yu Gothic"/>
          <w:sz w:val="20"/>
          <w:szCs w:val="20"/>
        </w:rPr>
        <w:t xml:space="preserve"/>
      </w:r>
    </w:p>
    <w:p>
      <w:pPr>
        <w:spacing w:after="60"/>
      </w:pPr>
      <w:r>
        <w:rPr>
          <w:rFonts w:ascii="Yu Gothic" w:cs="Yu Gothic" w:eastAsia="Yu Gothic" w:hAnsi="Yu Gothic"/>
          <w:sz w:val="20"/>
          <w:szCs w:val="20"/>
        </w:rPr>
        <w:t xml:space="preserve"/>
      </w:r>
    </w:p>
    <w:p>
      <w:pPr>
        <w:spacing w:after="100" w:line="280"/>
      </w:pPr>
      <w:r>
        <w:rPr>
          <w:rFonts w:ascii="Yu Gothic" w:cs="Yu Gothic" w:eastAsia="Yu Gothic" w:hAnsi="Yu Gothic"/>
          <w:i/>
          <w:iCs/>
          <w:color w:val="7A7F87"/>
          <w:sz w:val="17"/>
          <w:szCs w:val="17"/>
        </w:rPr>
        <w:t xml:space="preserve">記入のポイント：売り手の当初の希望価格、当社の提示額、合意額までの経緯を時系列で書きます。DDの結果で価格を下げた項目があれば金額とともに示します。</w:t>
      </w:r>
    </w:p>
    <w:p>
      <w:pPr>
        <w:spacing w:after="60" w:before="160"/>
      </w:pPr>
      <w:r>
        <w:rPr>
          <w:rFonts w:ascii="Yu Gothic" w:cs="Yu Gothic" w:eastAsia="Yu Gothic" w:hAnsi="Yu Gothic"/>
          <w:b/>
          <w:bCs/>
          <w:color w:val="0F2744"/>
          <w:sz w:val="20"/>
          <w:szCs w:val="20"/>
        </w:rPr>
        <w:t xml:space="preserve">（4）上限価格</w:t>
      </w:r>
    </w:p>
    <w:p>
      <w:pPr>
        <w:spacing w:after="80" w:line="320"/>
      </w:pPr>
      <w:r>
        <w:rPr>
          <w:rFonts w:ascii="Yu Gothic" w:cs="Yu Gothic" w:eastAsia="Yu Gothic" w:hAnsi="Yu Gothic"/>
          <w:sz w:val="20"/>
          <w:szCs w:val="20"/>
        </w:rPr>
        <w:t xml:space="preserve">当社としての上限価格（これを超えるなら見送る価格）は 〇〇百万円とし、今回の取得価額はその範囲内です。</w:t>
      </w:r>
    </w:p>
    <w:p>
      <w:pPr>
        <w:spacing w:after="100" w:line="280"/>
      </w:pPr>
      <w:r>
        <w:rPr>
          <w:rFonts w:ascii="Yu Gothic" w:cs="Yu Gothic" w:eastAsia="Yu Gothic" w:hAnsi="Yu Gothic"/>
          <w:i/>
          <w:iCs/>
          <w:color w:val="7A7F87"/>
          <w:sz w:val="17"/>
          <w:szCs w:val="17"/>
        </w:rPr>
        <w:t xml:space="preserve">記入のポイント：上限価格は、単独の株式価値に、当社が得るシナジーのうち対価として払ってよい割合を足して決めます。</w:t>
      </w:r>
    </w:p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7．投資回収の見通し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指標</w:t>
            </w:r>
          </w:p>
        </w:tc>
        <w:tc>
          <w:tcPr>
            <w:tcW w:type="pct" w:w="2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見込み</w:t>
            </w:r>
          </w:p>
        </w:tc>
        <w:tc>
          <w:tcPr>
            <w:tcW w:type="pct" w:w="4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前提</w:t>
            </w:r>
          </w:p>
        </w:tc>
      </w:tr>
      <w:t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投資回収年数</w:t>
            </w:r>
          </w:p>
        </w:tc>
        <w:tc>
          <w:tcPr>
            <w:tcW w:type="pct" w:w="2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〇年</w:t>
            </w:r>
          </w:p>
        </w:tc>
        <w:tc>
          <w:tcPr>
            <w:tcW w:type="pct" w:w="4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IRR（内部収益率）</w:t>
            </w:r>
          </w:p>
        </w:tc>
        <w:tc>
          <w:tcPr>
            <w:tcW w:type="pct" w:w="2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〇％</w:t>
            </w:r>
          </w:p>
        </w:tc>
        <w:tc>
          <w:tcPr>
            <w:tcW w:type="pct" w:w="4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ハードルレート 〇％</w:t>
            </w:r>
          </w:p>
        </w:tc>
      </w:tr>
      <w:t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NPV（正味現在価値）</w:t>
            </w:r>
          </w:p>
        </w:tc>
        <w:tc>
          <w:tcPr>
            <w:tcW w:type="pct" w:w="2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〇〇百万円</w:t>
            </w:r>
          </w:p>
        </w:tc>
        <w:tc>
          <w:tcPr>
            <w:tcW w:type="pct" w:w="4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割引率 〇％</w:t>
            </w:r>
          </w:p>
        </w:tc>
      </w:tr>
      <w:t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のれんの見込額</w:t>
            </w:r>
          </w:p>
        </w:tc>
        <w:tc>
          <w:tcPr>
            <w:tcW w:type="pct" w:w="2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〇〇百万円</w:t>
            </w:r>
          </w:p>
        </w:tc>
        <w:tc>
          <w:tcPr>
            <w:tcW w:type="pct" w:w="4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償却年数 〇年（償却額 〇〇百万円／年）</w:t>
            </w:r>
          </w:p>
        </w:tc>
      </w:tr>
      <w:tr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連結業績への影響（初年度）</w:t>
            </w:r>
          </w:p>
        </w:tc>
        <w:tc>
          <w:tcPr>
            <w:tcW w:type="pct" w:w="2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営業利益 ＋〇〇百万円</w:t>
            </w:r>
          </w:p>
        </w:tc>
        <w:tc>
          <w:tcPr>
            <w:tcW w:type="pct" w:w="45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のれん償却後</w:t>
            </w:r>
          </w:p>
        </w:tc>
      </w:tr>
    </w:tbl>
    <w:p>
      <w:pPr>
        <w:spacing w:after="100" w:line="280"/>
      </w:pPr>
      <w:r>
        <w:rPr>
          <w:rFonts w:ascii="Yu Gothic" w:cs="Yu Gothic" w:eastAsia="Yu Gothic" w:hAnsi="Yu Gothic"/>
          <w:i/>
          <w:iCs/>
          <w:color w:val="7A7F87"/>
          <w:sz w:val="17"/>
          <w:szCs w:val="17"/>
        </w:rPr>
        <w:t xml:space="preserve">記入のポイント：のれんの額が大きい場合は、業績が計画を下回ったときの減損の可能性にも触れます。</w:t>
      </w:r>
    </w:p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8．デューデリジェンスの結果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分野</w:t>
            </w:r>
          </w:p>
        </w:tc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実施者</w:t>
            </w:r>
          </w:p>
        </w:tc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主な発見事項</w:t>
            </w:r>
          </w:p>
        </w:tc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対応（価格・契約・PMI）</w:t>
            </w:r>
          </w:p>
        </w:tc>
      </w:tr>
      <w:tr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ビジネス</w:t>
            </w:r>
          </w:p>
        </w:tc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財務</w:t>
            </w:r>
          </w:p>
        </w:tc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税務</w:t>
            </w:r>
          </w:p>
        </w:tc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法務</w:t>
            </w:r>
          </w:p>
        </w:tc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労務・人事</w:t>
            </w:r>
          </w:p>
        </w:tc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IT・その他</w:t>
            </w:r>
          </w:p>
        </w:tc>
        <w:tc>
          <w:tcPr>
            <w:tcW w:type="pct" w:w="16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9．主なリスクと対応策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リスク</w:t>
            </w:r>
          </w:p>
        </w:tc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影響</w:t>
            </w:r>
          </w:p>
        </w:tc>
        <w:tc>
          <w:tcPr>
            <w:tcW w:type="pct" w:w="4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対応策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キーパーソンの離脱</w:t>
            </w:r>
          </w:p>
        </w:tc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継続勤務の条件・インセンティブ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主要取引先の離反</w:t>
            </w:r>
          </w:p>
        </w:tc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計画の未達</w:t>
            </w:r>
          </w:p>
        </w:tc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アーンアウト・段階取得の検討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>簿外債務・偶発債務</w:t>
            </w:r>
          </w:p>
        </w:tc>
        <w:tc>
          <w:tcPr>
            <w:tcW w:type="pct" w:w="30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pct" w:w="4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表明保証・補償条項</w:t>
            </w:r>
          </w:p>
        </w:tc>
      </w:tr>
    </w:tbl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10．統合（PMI）の計画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統合責任者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〇〇部長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100日プランの要点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経営体制、決裁権限、会計・報告ルール、システム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従業員・取引先への説明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時期と方法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モニタリング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月次でKPIを取締役会に報告</w:t>
            </w:r>
          </w:p>
        </w:tc>
      </w:tr>
    </w:tbl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11．資金計画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所要資金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取得価額 〇〇百万円＋諸費用 〇〇百万円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調達方法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自己資金 〇〇百万円、借入 〇〇百万円（金融機関名・条件）</w:t>
            </w:r>
          </w:p>
        </w:tc>
      </w:tr>
      <w:tr>
        <w:tc>
          <w:tcPr>
            <w:tcW w:type="pct" w:w="28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shd w:fill="F4F6F9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財務指標への影響</w:t>
            </w:r>
          </w:p>
        </w:tc>
        <w:tc>
          <w:tcPr>
            <w:tcW w:type="pct" w:w="72%"/>
            <w:tcBorders>
              <w:top w:val="single" w:color="B8C2CF" w:sz="8"/>
              <w:left w:val="single" w:color="B8C2CF" w:sz="8"/>
              <w:bottom w:val="single" w:color="B8C2CF" w:sz="8"/>
              <w:right w:val="single" w:color="B8C2CF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80"/>
            </w:pPr>
            <w:r>
              <w:rPr>
                <w:rFonts w:ascii="Yu Gothic" w:cs="Yu Gothic" w:eastAsia="Yu Gothic" w:hAnsi="Yu Gothic"/>
                <w:i/>
                <w:iCs/>
                <w:color w:val="7A7F87"/>
                <w:sz w:val="18"/>
                <w:szCs w:val="18"/>
              </w:rPr>
              <w:t xml:space="preserve">自己資本比率・有利子負債/EBITDA倍率の変化</w:t>
            </w:r>
          </w:p>
        </w:tc>
      </w:tr>
    </w:tbl>
    <w:p>
      <w:pPr>
        <w:pBdr>
          <w:bottom w:val="single" w:color="0F2744" w:sz="6" w:space="2"/>
        </w:pBdr>
        <w:spacing w:after="100" w:before="280"/>
      </w:pPr>
      <w:r>
        <w:rPr>
          <w:rFonts w:ascii="Yu Gothic" w:cs="Yu Gothic" w:eastAsia="Yu Gothic" w:hAnsi="Yu Gothic"/>
          <w:b/>
          <w:bCs/>
          <w:color w:val="0F2744"/>
          <w:sz w:val="24"/>
          <w:szCs w:val="24"/>
        </w:rPr>
        <w:t xml:space="preserve">12．添付資料</w:t>
      </w:r>
    </w:p>
    <w:p>
      <w:pPr>
        <w:spacing w:after="80" w:line="320"/>
      </w:pPr>
      <w:r>
        <w:rPr>
          <w:rFonts w:ascii="Yu Gothic" w:cs="Yu Gothic" w:eastAsia="Yu Gothic" w:hAnsi="Yu Gothic"/>
          <w:sz w:val="20"/>
          <w:szCs w:val="20"/>
        </w:rPr>
        <w:t xml:space="preserve">① 株式価値算定書　② デューデリジェンス報告書（財務・税務・法務）　③ 株式譲渡契約書（案）　④ 対象会社の事業計画　⑤ 対象会社の決算書（直近3期）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Yu Gothic" w:cs="Yu Gothic" w:eastAsia="Yu Gothic" w:hAnsi="Yu Gothic"/>
        <w:color w:val="7A7F87"/>
        <w:sz w:val="16"/>
        <w:szCs w:val="16"/>
      </w:rPr>
      <w:t xml:space="preserve">稟議書（株式取得の件）　　</w:t>
    </w:r>
    <w:r>
      <w:rPr>
        <w:rFonts w:ascii="Yu Gothic" w:cs="Yu Gothic" w:eastAsia="Yu Gothic" w:hAnsi="Yu Gothic"/>
        <w:color w:val="7A7F87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Yu Gothic" w:cs="Yu Gothic" w:eastAsia="Yu Gothic" w:hAnsi="Yu Gothic"/>
        <w:color w:val="7A7F87"/>
        <w:sz w:val="16"/>
        <w:szCs w:val="16"/>
      </w:rPr>
      <w:t xml:space="preserve"> / </w:t>
    </w:r>
    <w:r>
      <w:rPr>
        <w:rFonts w:ascii="Yu Gothic" w:cs="Yu Gothic" w:eastAsia="Yu Gothic" w:hAnsi="Yu Gothic"/>
        <w:color w:val="7A7F87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稟議書（株式取得による子会社化の件）</dc:title>
  <cp:lastModifiedBy>Un-named</cp:lastModifiedBy>
  <cp:revision>1</cp:revision>
  <dcterms:created xsi:type="dcterms:W3CDTF">2026-11-05T07:55:22.924Z</dcterms:created>
  <dcterms:modified xsi:type="dcterms:W3CDTF">2026-11-05T07:55:22.925Z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